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A11" w:rsidRPr="006059DB" w:rsidRDefault="00DB2825">
      <w:pPr>
        <w:pStyle w:val="SEC06-17"/>
        <w:rPr>
          <w:rFonts w:ascii="Courier New" w:hAnsi="Courier New"/>
          <w:noProof w:val="0"/>
        </w:rPr>
      </w:pPr>
      <w:r w:rsidRPr="006059DB">
        <w:rPr>
          <w:rFonts w:ascii="Courier New" w:hAnsi="Courier New"/>
          <w:vanish/>
        </w:rPr>
        <w:fldChar w:fldCharType="begin"/>
      </w:r>
      <w:r w:rsidRPr="006059DB">
        <w:rPr>
          <w:rFonts w:ascii="Courier New" w:hAnsi="Courier New"/>
          <w:vanish/>
        </w:rPr>
        <w:instrText xml:space="preserve"> COMMENTS START_STATUTE \* MERGEFORMAT </w:instrText>
      </w:r>
      <w:r w:rsidRPr="006059DB">
        <w:rPr>
          <w:rFonts w:ascii="Courier New" w:hAnsi="Courier New"/>
          <w:vanish/>
        </w:rPr>
        <w:fldChar w:fldCharType="separate"/>
      </w:r>
      <w:r w:rsidRPr="006059DB">
        <w:rPr>
          <w:rFonts w:ascii="Courier New" w:hAnsi="Courier New"/>
          <w:vanish/>
        </w:rPr>
        <w:t>START_STATUTE</w:t>
      </w:r>
      <w:r w:rsidRPr="006059DB">
        <w:rPr>
          <w:rFonts w:ascii="Courier New" w:hAnsi="Courier New"/>
          <w:vanish/>
        </w:rPr>
        <w:fldChar w:fldCharType="end"/>
      </w:r>
      <w:r w:rsidR="00AF5A11" w:rsidRPr="006059DB">
        <w:rPr>
          <w:rStyle w:val="SNUM"/>
          <w:rFonts w:ascii="Courier New" w:hAnsi="Courier New"/>
          <w:noProof w:val="0"/>
        </w:rPr>
        <w:t>10-142</w:t>
      </w:r>
      <w:r w:rsidR="00AF5A11" w:rsidRPr="006059DB">
        <w:rPr>
          <w:rFonts w:ascii="Courier New" w:hAnsi="Courier New"/>
          <w:noProof w:val="0"/>
        </w:rPr>
        <w:t>.  </w:t>
      </w:r>
      <w:r w:rsidR="00AF5A11" w:rsidRPr="006059DB">
        <w:rPr>
          <w:rStyle w:val="SECHEAD"/>
          <w:rFonts w:ascii="Courier New" w:hAnsi="Courier New"/>
          <w:noProof w:val="0"/>
        </w:rPr>
        <w:t>Number of shareholders</w:t>
      </w:r>
    </w:p>
    <w:p w:rsidR="00AF5A11" w:rsidRPr="006059DB" w:rsidRDefault="00AF5A11">
      <w:pPr>
        <w:pStyle w:val="P06-00"/>
        <w:rPr>
          <w:rFonts w:ascii="Courier New" w:hAnsi="Courier New"/>
          <w:noProof w:val="0"/>
        </w:rPr>
      </w:pPr>
      <w:r w:rsidRPr="006059DB">
        <w:rPr>
          <w:rFonts w:ascii="Courier New" w:hAnsi="Courier New"/>
          <w:noProof w:val="0"/>
        </w:rPr>
        <w:t>A.  For purposes of chapters 1 through 17 of this title, the following identified as a shareholder in a corporation's current record of shareholders constitutes one shareholder:</w:t>
      </w:r>
    </w:p>
    <w:p w:rsidR="00AF5A11" w:rsidRPr="006059DB" w:rsidRDefault="00AF5A11">
      <w:pPr>
        <w:pStyle w:val="P06-00"/>
        <w:rPr>
          <w:rFonts w:ascii="Courier New" w:hAnsi="Courier New"/>
          <w:noProof w:val="0"/>
        </w:rPr>
      </w:pPr>
      <w:r w:rsidRPr="006059DB">
        <w:rPr>
          <w:rFonts w:ascii="Courier New" w:hAnsi="Courier New"/>
          <w:noProof w:val="0"/>
        </w:rPr>
        <w:t>1.  Three or fewer co</w:t>
      </w:r>
      <w:r w:rsidRPr="006059DB">
        <w:rPr>
          <w:rFonts w:ascii="Courier New" w:hAnsi="Courier New"/>
          <w:noProof w:val="0"/>
        </w:rPr>
        <w:noBreakHyphen/>
        <w:t>owners.</w:t>
      </w:r>
    </w:p>
    <w:p w:rsidR="00AF5A11" w:rsidRPr="006059DB" w:rsidRDefault="00AF5A11">
      <w:pPr>
        <w:pStyle w:val="P06-00"/>
        <w:rPr>
          <w:rFonts w:ascii="Courier New" w:hAnsi="Courier New"/>
          <w:noProof w:val="0"/>
        </w:rPr>
      </w:pPr>
      <w:r w:rsidRPr="006059DB">
        <w:rPr>
          <w:rFonts w:ascii="Courier New" w:hAnsi="Courier New"/>
          <w:noProof w:val="0"/>
        </w:rPr>
        <w:t>2.  Any corporation, partnership, trust, estate or other entity.</w:t>
      </w:r>
    </w:p>
    <w:p w:rsidR="00AF5A11" w:rsidRPr="006059DB" w:rsidRDefault="00AF5A11">
      <w:pPr>
        <w:pStyle w:val="P06-00"/>
        <w:rPr>
          <w:rFonts w:ascii="Courier New" w:hAnsi="Courier New"/>
          <w:noProof w:val="0"/>
        </w:rPr>
      </w:pPr>
      <w:r w:rsidRPr="006059DB">
        <w:rPr>
          <w:rFonts w:ascii="Courier New" w:hAnsi="Courier New"/>
          <w:noProof w:val="0"/>
        </w:rPr>
        <w:t>3.  The trustees, guardians, custodians or other fiduciaries of a single trust, estate or account.</w:t>
      </w:r>
    </w:p>
    <w:p w:rsidR="00AF5A11" w:rsidRPr="006059DB" w:rsidRDefault="00AF5A11">
      <w:pPr>
        <w:pStyle w:val="P06-00"/>
        <w:rPr>
          <w:rFonts w:ascii="Courier New" w:hAnsi="Courier New"/>
          <w:noProof w:val="0"/>
        </w:rPr>
      </w:pPr>
      <w:r w:rsidRPr="006059DB">
        <w:rPr>
          <w:rFonts w:ascii="Courier New" w:hAnsi="Courier New"/>
          <w:noProof w:val="0"/>
        </w:rPr>
        <w:t xml:space="preserve">B.  For purposes of chapters 1 through 17 of this title, shareholdings registered in substantially similar names constitute one shareholder if it is reasonable to believe that the names represent the same person. </w:t>
      </w:r>
      <w:r w:rsidR="00DE4C05" w:rsidRPr="006059DB">
        <w:rPr>
          <w:rFonts w:ascii="Courier New" w:hAnsi="Courier New"/>
          <w:vanish/>
        </w:rPr>
        <w:fldChar w:fldCharType="begin"/>
      </w:r>
      <w:r w:rsidR="00DE4C05" w:rsidRPr="006059DB">
        <w:rPr>
          <w:rFonts w:ascii="Courier New" w:hAnsi="Courier New"/>
          <w:vanish/>
        </w:rPr>
        <w:instrText xml:space="preserve"> COMMENTS END_STATUTE \* MERGEFORMAT </w:instrText>
      </w:r>
      <w:r w:rsidR="00DE4C05" w:rsidRPr="006059DB">
        <w:rPr>
          <w:rFonts w:ascii="Courier New" w:hAnsi="Courier New"/>
          <w:vanish/>
        </w:rPr>
        <w:fldChar w:fldCharType="separate"/>
      </w:r>
      <w:r w:rsidR="00DE4C05" w:rsidRPr="006059DB">
        <w:rPr>
          <w:rFonts w:ascii="Courier New" w:hAnsi="Courier New"/>
          <w:vanish/>
        </w:rPr>
        <w:t>END_STATUTE</w:t>
      </w:r>
      <w:r w:rsidR="00DE4C05" w:rsidRPr="006059DB">
        <w:rPr>
          <w:rFonts w:ascii="Courier New" w:hAnsi="Courier New"/>
          <w:vanish/>
        </w:rPr>
        <w:fldChar w:fldCharType="end"/>
      </w:r>
    </w:p>
    <w:sectPr w:rsidR="00AF5A11" w:rsidRPr="00605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720" w:right="1440" w:bottom="1440" w:left="1872" w:header="72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059" w:rsidRDefault="002D5059">
      <w:r>
        <w:separator/>
      </w:r>
    </w:p>
  </w:endnote>
  <w:endnote w:type="continuationSeparator" w:id="0">
    <w:p w:rsidR="002D5059" w:rsidRDefault="002D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Gothic-Upper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A11" w:rsidRDefault="00AF5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A11" w:rsidRDefault="00AF5A11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A11" w:rsidRDefault="00AF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059" w:rsidRDefault="002D5059">
      <w:r>
        <w:separator/>
      </w:r>
    </w:p>
  </w:footnote>
  <w:footnote w:type="continuationSeparator" w:id="0">
    <w:p w:rsidR="002D5059" w:rsidRDefault="002D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A11" w:rsidRDefault="00AF5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A11" w:rsidRDefault="00AF5A11">
    <w:pPr>
      <w:pStyle w:val="Header"/>
    </w:pPr>
  </w:p>
  <w:p w:rsidR="00AF5A11" w:rsidRDefault="00AF5A11">
    <w:pPr>
      <w:pStyle w:val="Header"/>
    </w:pPr>
  </w:p>
  <w:p w:rsidR="00AF5A11" w:rsidRDefault="00AF5A11">
    <w:pPr>
      <w:pStyle w:val="Header"/>
    </w:pPr>
  </w:p>
  <w:p w:rsidR="00AF5A11" w:rsidRDefault="00AF5A11">
    <w:pPr>
      <w:pStyle w:val="Header"/>
    </w:pPr>
  </w:p>
  <w:p w:rsidR="00AF5A11" w:rsidRDefault="00AF5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A11" w:rsidRDefault="00AF5A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05"/>
    <w:rsid w:val="002D5059"/>
    <w:rsid w:val="006059DB"/>
    <w:rsid w:val="00AF5A11"/>
    <w:rsid w:val="00DB2825"/>
    <w:rsid w:val="00D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C54087A-F12E-47A5-ABB5-A087B802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-Gothic-Drafting" w:hAnsi="Letter-Gothic-Drafting"/>
      <w:b/>
      <w:noProof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customStyle="1" w:styleId="RTITLE">
    <w:name w:val="RTITLE"/>
    <w:rPr>
      <w:color w:val="FF0000"/>
    </w:rPr>
  </w:style>
  <w:style w:type="character" w:customStyle="1" w:styleId="STAT">
    <w:name w:val="STAT"/>
  </w:style>
  <w:style w:type="character" w:customStyle="1" w:styleId="AGENCY">
    <w:name w:val="AGENCY"/>
    <w:basedOn w:val="DefaultParagraphFont"/>
    <w:rPr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  <w:rPr>
      <w:noProof w:val="0"/>
    </w:rPr>
  </w:style>
  <w:style w:type="character" w:customStyle="1" w:styleId="BNUM">
    <w:name w:val="BNUM"/>
    <w:basedOn w:val="DefaultParagraphFont"/>
    <w:rPr>
      <w:rFonts w:ascii="Arial" w:hAnsi="Arial"/>
      <w:sz w:val="48"/>
    </w:rPr>
  </w:style>
  <w:style w:type="character" w:customStyle="1" w:styleId="SPONSORS">
    <w:name w:val="SPONSORS"/>
  </w:style>
  <w:style w:type="paragraph" w:customStyle="1" w:styleId="BLK11-06">
    <w:name w:val="BLK 11-06"/>
    <w:basedOn w:val="Normal"/>
    <w:pPr>
      <w:widowControl/>
      <w:ind w:left="720" w:right="720" w:firstLine="605"/>
    </w:pPr>
    <w:rPr>
      <w:noProof w:val="0"/>
    </w:rPr>
  </w:style>
  <w:style w:type="character" w:customStyle="1" w:styleId="TITLE">
    <w:name w:val="TITLE"/>
    <w:basedOn w:val="DefaultParagraphFont"/>
    <w:rPr>
      <w:caps/>
      <w:color w:val="0000FF"/>
    </w:rPr>
  </w:style>
  <w:style w:type="paragraph" w:customStyle="1" w:styleId="BLK12-24">
    <w:name w:val="BLK 12-24"/>
    <w:basedOn w:val="Normal"/>
    <w:pPr>
      <w:widowControl/>
      <w:ind w:left="2880" w:right="720" w:hanging="1440"/>
    </w:pPr>
    <w:rPr>
      <w:noProof w:val="0"/>
    </w:rPr>
  </w:style>
  <w:style w:type="character" w:customStyle="1" w:styleId="SECHEAD">
    <w:name w:val="SECHEAD"/>
    <w:basedOn w:val="DefaultParagraphFont"/>
    <w:rPr>
      <w:color w:val="800080"/>
      <w:u w:val="single"/>
    </w:rPr>
  </w:style>
  <w:style w:type="paragraph" w:customStyle="1" w:styleId="BLK12-27">
    <w:name w:val="BLK 12-27"/>
    <w:basedOn w:val="Normal"/>
    <w:pPr>
      <w:widowControl/>
      <w:ind w:left="3240" w:right="720" w:hanging="1800"/>
    </w:pPr>
    <w:rPr>
      <w:noProof w:val="0"/>
    </w:rPr>
  </w:style>
  <w:style w:type="paragraph" w:customStyle="1" w:styleId="BLK12-06">
    <w:name w:val="BLK 12-06"/>
    <w:basedOn w:val="Normal"/>
    <w:pPr>
      <w:widowControl/>
      <w:ind w:left="720" w:right="720" w:firstLine="720"/>
    </w:pPr>
    <w:rPr>
      <w:noProof w:val="0"/>
    </w:rPr>
  </w:style>
  <w:style w:type="character" w:customStyle="1" w:styleId="SNUM">
    <w:name w:val="SNUM"/>
    <w:basedOn w:val="DefaultParagraphFont"/>
    <w:rPr>
      <w:color w:val="008000"/>
    </w:rPr>
  </w:style>
  <w:style w:type="character" w:customStyle="1" w:styleId="UP">
    <w:name w:val="UP"/>
    <w:basedOn w:val="DefaultParagraphFont"/>
    <w:rPr>
      <w:caps/>
      <w:noProof w:val="0"/>
      <w:color w:val="0000FF"/>
      <w:lang w:val="en-US"/>
    </w:rPr>
  </w:style>
  <w:style w:type="character" w:customStyle="1" w:styleId="O">
    <w:name w:val="O"/>
    <w:basedOn w:val="DefaultParagraphFont"/>
    <w:rPr>
      <w:strike/>
      <w:dstrike w:val="0"/>
      <w:noProof w:val="0"/>
      <w:color w:val="FF0000"/>
      <w:lang w:val="en-US"/>
    </w:rPr>
  </w:style>
  <w:style w:type="character" w:styleId="LineNumber">
    <w:name w:val="line number"/>
    <w:basedOn w:val="DefaultParagraphFont"/>
  </w:style>
  <w:style w:type="paragraph" w:styleId="Header">
    <w:name w:val="header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paragraph" w:styleId="BodyTextIndent">
    <w:name w:val="Body Text Indent"/>
    <w:basedOn w:val="Normal"/>
    <w:pPr>
      <w:widowControl/>
      <w:tabs>
        <w:tab w:val="left" w:pos="0"/>
        <w:tab w:val="left" w:pos="720"/>
      </w:tabs>
      <w:ind w:firstLine="720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/>
      <w:suppressLineNumbers/>
    </w:pPr>
  </w:style>
  <w:style w:type="character" w:customStyle="1" w:styleId="INTRO">
    <w:name w:val="INTRO"/>
    <w:basedOn w:val="DefaultParagraphFont"/>
    <w:rPr>
      <w:noProof w:val="0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BLK18-12">
    <w:name w:val="BLK 18-12"/>
    <w:basedOn w:val="Normal"/>
    <w:pPr>
      <w:widowControl/>
      <w:ind w:left="1440" w:right="720" w:firstLine="720"/>
    </w:pPr>
    <w:rPr>
      <w:noProof w:val="0"/>
    </w:rPr>
  </w:style>
  <w:style w:type="paragraph" w:customStyle="1" w:styleId="BLK18-30">
    <w:name w:val="BLK 18-30"/>
    <w:basedOn w:val="Normal"/>
    <w:pPr>
      <w:widowControl/>
      <w:ind w:left="4320" w:right="720" w:hanging="2160"/>
    </w:pPr>
    <w:rPr>
      <w:noProof w:val="0"/>
    </w:rPr>
  </w:style>
  <w:style w:type="paragraph" w:customStyle="1" w:styleId="BLK35-35">
    <w:name w:val="BLK 35-35"/>
    <w:basedOn w:val="Normal"/>
    <w:pPr>
      <w:widowControl/>
      <w:ind w:left="4205" w:right="720"/>
    </w:pPr>
    <w:rPr>
      <w:noProof w:val="0"/>
    </w:rPr>
  </w:style>
  <w:style w:type="paragraph" w:customStyle="1" w:styleId="BLK06-00">
    <w:name w:val="BLK 06-00"/>
    <w:basedOn w:val="Normal"/>
    <w:pPr>
      <w:widowControl/>
      <w:ind w:right="720" w:firstLine="720"/>
    </w:pPr>
    <w:rPr>
      <w:noProof w:val="0"/>
    </w:rPr>
  </w:style>
  <w:style w:type="paragraph" w:customStyle="1" w:styleId="BLK06-12">
    <w:name w:val="BLK 06-12"/>
    <w:basedOn w:val="Normal"/>
    <w:pPr>
      <w:widowControl/>
      <w:ind w:left="1440" w:right="720" w:hanging="720"/>
    </w:pPr>
    <w:rPr>
      <w:noProof w:val="0"/>
    </w:rPr>
  </w:style>
  <w:style w:type="paragraph" w:customStyle="1" w:styleId="BLK06-14">
    <w:name w:val="BLK 06-14"/>
    <w:basedOn w:val="Normal"/>
    <w:pPr>
      <w:widowControl/>
      <w:ind w:left="1685" w:right="720" w:hanging="965"/>
    </w:pPr>
    <w:rPr>
      <w:noProof w:val="0"/>
    </w:rPr>
  </w:style>
  <w:style w:type="paragraph" w:customStyle="1" w:styleId="BLK06-17">
    <w:name w:val="BLK 06-17"/>
    <w:basedOn w:val="Normal"/>
    <w:pPr>
      <w:widowControl/>
      <w:ind w:left="2040" w:right="720" w:hanging="1320"/>
    </w:pPr>
    <w:rPr>
      <w:noProof w:val="0"/>
    </w:rPr>
  </w:style>
  <w:style w:type="paragraph" w:customStyle="1" w:styleId="BLK06-18">
    <w:name w:val="BLK 06-18"/>
    <w:basedOn w:val="Normal"/>
    <w:pPr>
      <w:widowControl/>
      <w:ind w:left="2160" w:right="720" w:hanging="1440"/>
    </w:pPr>
    <w:rPr>
      <w:noProof w:val="0"/>
    </w:r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CON12-18">
    <w:name w:val="CON 12-18"/>
    <w:basedOn w:val="Normal"/>
    <w:pPr>
      <w:widowControl/>
      <w:ind w:left="2160" w:right="1195" w:hanging="720"/>
    </w:pPr>
  </w:style>
  <w:style w:type="paragraph" w:customStyle="1" w:styleId="CON12-19">
    <w:name w:val="CON 12-19"/>
    <w:basedOn w:val="Normal"/>
    <w:pPr>
      <w:widowControl/>
      <w:ind w:left="2275" w:right="1195" w:hanging="835"/>
    </w:pPr>
  </w:style>
  <w:style w:type="paragraph" w:customStyle="1" w:styleId="CON12-20">
    <w:name w:val="CON 12-20"/>
    <w:basedOn w:val="Normal"/>
    <w:pPr>
      <w:widowControl/>
      <w:ind w:left="2405" w:right="1195" w:hanging="965"/>
    </w:pPr>
  </w:style>
  <w:style w:type="paragraph" w:customStyle="1" w:styleId="CON12-22">
    <w:name w:val="CON 12-22"/>
    <w:basedOn w:val="Normal"/>
    <w:pPr>
      <w:widowControl/>
      <w:ind w:left="2635" w:right="1195" w:hanging="1195"/>
    </w:pPr>
  </w:style>
  <w:style w:type="paragraph" w:customStyle="1" w:styleId="CON12-23">
    <w:name w:val="CON 12-23"/>
    <w:basedOn w:val="Normal"/>
    <w:pPr>
      <w:widowControl/>
      <w:ind w:left="2765" w:right="1200" w:hanging="1325"/>
    </w:pPr>
  </w:style>
  <w:style w:type="paragraph" w:customStyle="1" w:styleId="CON12-24">
    <w:name w:val="CON 12-24"/>
    <w:basedOn w:val="Normal"/>
    <w:pPr>
      <w:widowControl/>
      <w:ind w:left="2880" w:right="1200" w:hanging="1440"/>
    </w:pPr>
  </w:style>
  <w:style w:type="paragraph" w:customStyle="1" w:styleId="CON12-25">
    <w:name w:val="CON 12-25"/>
    <w:basedOn w:val="Normal"/>
    <w:pPr>
      <w:widowControl/>
      <w:ind w:left="2995" w:right="1195" w:hanging="1555"/>
    </w:pPr>
  </w:style>
  <w:style w:type="paragraph" w:customStyle="1" w:styleId="CON12-26">
    <w:name w:val="CON 12-26"/>
    <w:basedOn w:val="Normal"/>
    <w:pPr>
      <w:widowControl/>
      <w:ind w:left="3125" w:right="1200" w:hanging="1685"/>
    </w:pPr>
  </w:style>
  <w:style w:type="paragraph" w:customStyle="1" w:styleId="CON12-27">
    <w:name w:val="CON 12-27"/>
    <w:basedOn w:val="Normal"/>
    <w:pPr>
      <w:widowControl/>
      <w:ind w:left="3240" w:right="1200" w:hanging="1800"/>
    </w:pPr>
  </w:style>
  <w:style w:type="paragraph" w:customStyle="1" w:styleId="CON12-06">
    <w:name w:val="CON 12-06"/>
    <w:basedOn w:val="Normal"/>
    <w:pPr>
      <w:widowControl/>
      <w:ind w:left="720" w:right="1195" w:firstLine="720"/>
    </w:p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pPr>
      <w:widowControl/>
      <w:ind w:firstLine="720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JUSTIFYCENTER">
    <w:name w:val="JUSTIFY CENTER"/>
    <w:basedOn w:val="Normal"/>
    <w:pPr>
      <w:widowControl/>
      <w:jc w:val="center"/>
    </w:pPr>
    <w:rPr>
      <w:noProof w:val="0"/>
    </w:rPr>
  </w:style>
  <w:style w:type="paragraph" w:customStyle="1" w:styleId="JUSTIFYRIGHT">
    <w:name w:val="JUSTIFY RIGHT"/>
    <w:basedOn w:val="Normal"/>
    <w:pPr>
      <w:widowControl/>
      <w:jc w:val="right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drafting\a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ars.dot</Template>
  <TotalTime>0</TotalTime>
  <Pages>1</Pages>
  <Words>110</Words>
  <Characters>614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10-142</vt:lpstr>
    </vt:vector>
  </TitlesOfParts>
  <Company>LCS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10-142; Number of shareholders</dc:title>
  <dc:subject>Number of shareholders</dc:subject>
  <dc:creator>Arizona Legislative Council</dc:creator>
  <cp:keywords/>
  <dc:description>10_x001e_142</dc:description>
  <cp:lastModifiedBy>dbupdate</cp:lastModifiedBy>
  <cp:revision>2</cp:revision>
  <cp:lastPrinted>1999-03-22T18:35:00Z</cp:lastPrinted>
  <dcterms:created xsi:type="dcterms:W3CDTF">2024-09-06T19:41:00Z</dcterms:created>
  <dcterms:modified xsi:type="dcterms:W3CDTF">2024-09-06T19:41:00Z</dcterms:modified>
</cp:coreProperties>
</file>