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DDF" w:rsidRPr="0008552F" w:rsidRDefault="006358B3">
      <w:pPr>
        <w:pStyle w:val="SEC06-17"/>
        <w:rPr>
          <w:rFonts w:ascii="Courier New" w:hAnsi="Courier New"/>
          <w:noProof w:val="0"/>
        </w:rPr>
      </w:pPr>
      <w:r w:rsidRPr="0008552F">
        <w:rPr>
          <w:rFonts w:ascii="Courier New" w:hAnsi="Courier New"/>
          <w:vanish/>
        </w:rPr>
        <w:fldChar w:fldCharType="begin"/>
      </w:r>
      <w:r w:rsidRPr="0008552F">
        <w:rPr>
          <w:rFonts w:ascii="Courier New" w:hAnsi="Courier New"/>
          <w:vanish/>
        </w:rPr>
        <w:instrText xml:space="preserve"> COMMENTS START_STATUTE \* MERGEFORMAT </w:instrText>
      </w:r>
      <w:r w:rsidRPr="0008552F">
        <w:rPr>
          <w:rFonts w:ascii="Courier New" w:hAnsi="Courier New"/>
          <w:vanish/>
        </w:rPr>
        <w:fldChar w:fldCharType="separate"/>
      </w:r>
      <w:r w:rsidRPr="0008552F">
        <w:rPr>
          <w:rFonts w:ascii="Courier New" w:hAnsi="Courier New"/>
          <w:vanish/>
        </w:rPr>
        <w:t>START_STATUTE</w:t>
      </w:r>
      <w:r w:rsidRPr="0008552F">
        <w:rPr>
          <w:rFonts w:ascii="Courier New" w:hAnsi="Courier New"/>
          <w:vanish/>
        </w:rPr>
        <w:fldChar w:fldCharType="end"/>
      </w:r>
      <w:r w:rsidR="00116DDF" w:rsidRPr="0008552F">
        <w:rPr>
          <w:rStyle w:val="SNUM"/>
          <w:rFonts w:ascii="Courier New" w:hAnsi="Courier New"/>
          <w:noProof w:val="0"/>
        </w:rPr>
        <w:t>10-2214</w:t>
      </w:r>
      <w:r w:rsidR="00116DDF" w:rsidRPr="0008552F">
        <w:rPr>
          <w:rFonts w:ascii="Courier New" w:hAnsi="Courier New"/>
          <w:noProof w:val="0"/>
        </w:rPr>
        <w:t>.  </w:t>
      </w:r>
      <w:r w:rsidR="00116DDF" w:rsidRPr="0008552F">
        <w:rPr>
          <w:rStyle w:val="SECHEAD"/>
          <w:rFonts w:ascii="Courier New" w:hAnsi="Courier New"/>
          <w:noProof w:val="0"/>
        </w:rPr>
        <w:t>Prohibited activities; authorized investments</w:t>
      </w:r>
    </w:p>
    <w:p w:rsidR="00116DDF" w:rsidRPr="0008552F" w:rsidRDefault="00116DDF">
      <w:pPr>
        <w:pStyle w:val="P06-00"/>
        <w:rPr>
          <w:rFonts w:ascii="Courier New" w:hAnsi="Courier New"/>
          <w:noProof w:val="0"/>
        </w:rPr>
      </w:pPr>
      <w:r w:rsidRPr="0008552F">
        <w:rPr>
          <w:rFonts w:ascii="Courier New" w:hAnsi="Courier New"/>
          <w:noProof w:val="0"/>
        </w:rPr>
        <w:t>A.  A professional corporation may not render any professional service or engage in any business other than the professional service, including services ancillary to the professional service, and the business authorized by its articles of incorporation, except to the extent that the other service or business is incidental to or an inconsequential portion of the authorized service or business of that corporation.</w:t>
      </w:r>
    </w:p>
    <w:p w:rsidR="00116DDF" w:rsidRPr="0008552F" w:rsidRDefault="00116DDF" w:rsidP="006358B3">
      <w:pPr>
        <w:pStyle w:val="P06-00"/>
        <w:rPr>
          <w:rFonts w:ascii="Courier New" w:hAnsi="Courier New"/>
          <w:noProof w:val="0"/>
        </w:rPr>
      </w:pPr>
      <w:r w:rsidRPr="0008552F">
        <w:rPr>
          <w:rFonts w:ascii="Courier New" w:hAnsi="Courier New"/>
          <w:noProof w:val="0"/>
        </w:rPr>
        <w:t>B.  A professional corporation may invest its monies in or otherwise own real estate, mortgages, stocks, bonds, partnership interests, limited liability company memberships, securities or any other type of investment or property.</w:t>
      </w:r>
      <w:r w:rsidR="006358B3" w:rsidRPr="0008552F">
        <w:rPr>
          <w:rFonts w:ascii="Courier New" w:hAnsi="Courier New"/>
          <w:vanish/>
        </w:rPr>
        <w:t xml:space="preserve"> </w:t>
      </w:r>
      <w:r w:rsidR="006358B3" w:rsidRPr="0008552F">
        <w:rPr>
          <w:rFonts w:ascii="Courier New" w:hAnsi="Courier New"/>
          <w:vanish/>
        </w:rPr>
        <w:fldChar w:fldCharType="begin"/>
      </w:r>
      <w:r w:rsidR="006358B3" w:rsidRPr="0008552F">
        <w:rPr>
          <w:rFonts w:ascii="Courier New" w:hAnsi="Courier New"/>
          <w:vanish/>
        </w:rPr>
        <w:instrText xml:space="preserve"> COMMENTS END_STATUTE \* MERGEFORMAT </w:instrText>
      </w:r>
      <w:r w:rsidR="006358B3" w:rsidRPr="0008552F">
        <w:rPr>
          <w:rFonts w:ascii="Courier New" w:hAnsi="Courier New"/>
          <w:vanish/>
        </w:rPr>
        <w:fldChar w:fldCharType="separate"/>
      </w:r>
      <w:r w:rsidR="006358B3" w:rsidRPr="0008552F">
        <w:rPr>
          <w:rFonts w:ascii="Courier New" w:hAnsi="Courier New"/>
          <w:vanish/>
        </w:rPr>
        <w:t>END_STATUTE</w:t>
      </w:r>
      <w:r w:rsidR="006358B3" w:rsidRPr="0008552F">
        <w:rPr>
          <w:rFonts w:ascii="Courier New" w:hAnsi="Courier New"/>
          <w:vanish/>
        </w:rPr>
        <w:fldChar w:fldCharType="end"/>
      </w:r>
    </w:p>
    <w:sectPr w:rsidR="00116DDF" w:rsidRPr="0008552F">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DDF" w:rsidRDefault="00116DDF">
      <w:r>
        <w:separator/>
      </w:r>
    </w:p>
  </w:endnote>
  <w:endnote w:type="continuationSeparator" w:id="0">
    <w:p w:rsidR="00116DDF" w:rsidRDefault="0011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DDF" w:rsidRDefault="00116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DDF" w:rsidRDefault="00116DDF">
    <w:pPr>
      <w:pStyle w:val="Footer"/>
    </w:pPr>
    <w:r>
      <w:tab/>
      <w:t xml:space="preserve">- </w:t>
    </w:r>
    <w:r>
      <w:fldChar w:fldCharType="begin"/>
    </w:r>
    <w:r>
      <w:instrText xml:space="preserve"> PAGE </w:instrTex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DDF" w:rsidRDefault="00116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DDF" w:rsidRDefault="00116DDF">
      <w:r>
        <w:separator/>
      </w:r>
    </w:p>
  </w:footnote>
  <w:footnote w:type="continuationSeparator" w:id="0">
    <w:p w:rsidR="00116DDF" w:rsidRDefault="0011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DDF" w:rsidRDefault="00116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DDF" w:rsidRDefault="00116DDF">
    <w:pPr>
      <w:pStyle w:val="Header"/>
    </w:pPr>
  </w:p>
  <w:p w:rsidR="00116DDF" w:rsidRDefault="00116DDF">
    <w:pPr>
      <w:pStyle w:val="Header"/>
    </w:pPr>
  </w:p>
  <w:p w:rsidR="00116DDF" w:rsidRDefault="00116DDF">
    <w:pPr>
      <w:pStyle w:val="Header"/>
    </w:pPr>
  </w:p>
  <w:p w:rsidR="00116DDF" w:rsidRDefault="00116DDF">
    <w:pPr>
      <w:pStyle w:val="Header"/>
    </w:pPr>
  </w:p>
  <w:p w:rsidR="00116DDF" w:rsidRDefault="00116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DDF" w:rsidRDefault="00116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B3"/>
    <w:rsid w:val="0008552F"/>
    <w:rsid w:val="00116DDF"/>
    <w:rsid w:val="0063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04BFE59-568A-47B9-96A8-DCE5EB5C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rPr>
      <w:noProof w:val="0"/>
    </w:rPr>
  </w:style>
  <w:style w:type="character" w:customStyle="1" w:styleId="BNUM">
    <w:name w:val="BNUM"/>
    <w:basedOn w:val="DefaultParagraphFont"/>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basedOn w:val="DefaultParagraphFont"/>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basedOn w:val="DefaultParagraphFont"/>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basedOn w:val="DefaultParagraphFont"/>
    <w:rPr>
      <w:color w:val="008000"/>
    </w:rPr>
  </w:style>
  <w:style w:type="character" w:customStyle="1" w:styleId="UP">
    <w:name w:val="UP"/>
    <w:basedOn w:val="DefaultParagraphFont"/>
    <w:rPr>
      <w:caps/>
      <w:noProof w:val="0"/>
      <w:color w:val="0000FF"/>
      <w:lang w:val="en-US"/>
    </w:rPr>
  </w:style>
  <w:style w:type="character" w:customStyle="1" w:styleId="O">
    <w:name w:val="O"/>
    <w:basedOn w:val="DefaultParagraphFont"/>
    <w:rPr>
      <w:strike/>
      <w:dstrike w:val="0"/>
      <w:noProof w:val="0"/>
      <w:color w:val="FF0000"/>
      <w:lang w:val="en-US"/>
    </w:rPr>
  </w:style>
  <w:style w:type="character" w:styleId="LineNumber">
    <w:name w:val="line number"/>
    <w:basedOn w:val="DefaultParagraphFont"/>
  </w:style>
  <w:style w:type="paragraph" w:styleId="Header">
    <w:name w:val="header"/>
    <w:basedOn w:val="Normal"/>
  </w:style>
  <w:style w:type="paragraph" w:styleId="Footer">
    <w:name w:val="footer"/>
    <w:basedOn w:val="Normal"/>
    <w:pPr>
      <w:tabs>
        <w:tab w:val="center" w:pos="4320"/>
        <w:tab w:val="right" w:pos="8640"/>
      </w:tabs>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pPr>
      <w:widowControl/>
      <w:tabs>
        <w:tab w:val="left" w:pos="0"/>
        <w:tab w:val="left" w:pos="720"/>
      </w:tabs>
      <w:ind w:firstLine="720"/>
    </w:pPr>
  </w:style>
  <w:style w:type="character" w:styleId="PageNumber">
    <w:name w:val="page number"/>
    <w:basedOn w:val="DefaultParagraphFont"/>
  </w:style>
  <w:style w:type="paragraph" w:styleId="BodyText">
    <w:name w:val="Body Text"/>
    <w:basedOn w:val="Normal"/>
    <w:pPr>
      <w:widowControl/>
      <w:suppressLineNumbers/>
    </w:pPr>
  </w:style>
  <w:style w:type="character" w:customStyle="1" w:styleId="INTRO">
    <w:name w:val="INTRO"/>
    <w:basedOn w:val="DefaultParagraphFont"/>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114</Words>
  <Characters>695</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10-2214</vt:lpstr>
    </vt:vector>
  </TitlesOfParts>
  <Company>LCS</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10-2214; Prohibited activities; authorized investments</dc:title>
  <dc:subject>Prohibited activities; authorized investments</dc:subject>
  <dc:creator>Arizona Legislative Council</dc:creator>
  <cp:keywords/>
  <dc:description>10_x001e_2214</dc:description>
  <cp:lastModifiedBy>dbupdate</cp:lastModifiedBy>
  <cp:revision>2</cp:revision>
  <cp:lastPrinted>1999-03-22T18:35:00Z</cp:lastPrinted>
  <dcterms:created xsi:type="dcterms:W3CDTF">2024-09-06T20:15:00Z</dcterms:created>
  <dcterms:modified xsi:type="dcterms:W3CDTF">2024-09-06T20:15:00Z</dcterms:modified>
</cp:coreProperties>
</file>