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72F9" w14:textId="77777777" w:rsidR="004B2324" w:rsidRPr="005B6271" w:rsidRDefault="004B2324" w:rsidP="004B2324">
      <w:pPr>
        <w:pStyle w:val="SEC06-19"/>
        <w:keepNext/>
        <w:keepLines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fldChar w:fldCharType="begin"/>
      </w:r>
      <w:r w:rsidRPr="005B6271">
        <w:rPr>
          <w:rFonts w:ascii="Courier New" w:hAnsi="Courier New" w:cs="Courier New"/>
        </w:rPr>
        <w:instrText xml:space="preserve"> COMMENTS START_STATUTE \* MERGEFORMAT </w:instrText>
      </w:r>
      <w:r w:rsidRPr="005B6271">
        <w:rPr>
          <w:rFonts w:ascii="Courier New" w:hAnsi="Courier New" w:cs="Courier New"/>
        </w:rPr>
        <w:fldChar w:fldCharType="separate"/>
      </w:r>
      <w:r w:rsidRPr="005B6271">
        <w:rPr>
          <w:rFonts w:ascii="Courier New" w:hAnsi="Courier New" w:cs="Courier New"/>
          <w:vanish/>
        </w:rPr>
        <w:t>START_STATUTE</w:t>
      </w:r>
      <w:r w:rsidRPr="005B6271">
        <w:rPr>
          <w:rFonts w:ascii="Courier New" w:hAnsi="Courier New" w:cs="Courier New"/>
        </w:rPr>
        <w:fldChar w:fldCharType="end"/>
      </w:r>
      <w:r w:rsidRPr="005B6271">
        <w:rPr>
          <w:rStyle w:val="SNUM"/>
          <w:rFonts w:ascii="Courier New" w:hAnsi="Courier New" w:cs="Courier New"/>
        </w:rPr>
        <w:t>10-11251</w:t>
      </w:r>
      <w:r w:rsidRPr="005B6271">
        <w:rPr>
          <w:rFonts w:ascii="Courier New" w:hAnsi="Courier New" w:cs="Courier New"/>
        </w:rPr>
        <w:t>.  </w:t>
      </w:r>
      <w:r w:rsidRPr="005B6271">
        <w:rPr>
          <w:rStyle w:val="SECHEAD"/>
          <w:rFonts w:ascii="Courier New" w:hAnsi="Courier New" w:cs="Courier New"/>
        </w:rPr>
        <w:t>Definitions</w:t>
      </w:r>
    </w:p>
    <w:p w14:paraId="2BF28ADB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In this chapter, unless the context otherwise requires:</w:t>
      </w:r>
    </w:p>
    <w:p w14:paraId="12C5C994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1.  "Assets" means all real, personal, tangible and intangible property and rights in property, including cash, buildings, equipment, investments and contracts with other entities.</w:t>
      </w:r>
    </w:p>
    <w:p w14:paraId="48D2FA52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2.  "Community benefit activity" means any activity furthering community benefit purposes including any health care activity that includes education, prevention, promotion of community health, indigent care or any other charitable purpose.</w:t>
      </w:r>
    </w:p>
    <w:p w14:paraId="60DA0789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3.  "Community benefit assets" means every asset that has been used in connection with community benefit activity during the previous year.</w:t>
      </w:r>
    </w:p>
    <w:p w14:paraId="275FF441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4.  "Community benefit organization" means a nonprofit charitable organization that is tax-exempt under section 501(c)(3) of the internal revenue code and whose mission is solely to engage in community benefit activities.</w:t>
      </w:r>
    </w:p>
    <w:p w14:paraId="272A2128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5.  "Community benefit purposes" means those purposes for which an entity may qualify for exemption pursuant to section 501(c)(3) of the internal revenue code, or for similar activity engaged in by a for profit organization.</w:t>
      </w:r>
    </w:p>
    <w:p w14:paraId="1646B035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6.  "Community health center" means a primary care facility that provides medical care in medically underserved areas as designated in section 36</w:t>
      </w:r>
      <w:r w:rsidRPr="005B6271">
        <w:rPr>
          <w:rFonts w:ascii="Courier New" w:hAnsi="Courier New" w:cs="Courier New"/>
        </w:rPr>
        <w:noBreakHyphen/>
        <w:t>2352 or in medically underserved areas or medically underserved populations as designated by the United States department of health and human services.</w:t>
      </w:r>
    </w:p>
    <w:p w14:paraId="30E2AF55" w14:textId="77777777" w:rsidR="004B2324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7.  "Nonprofit health care entity" means a licensed hospital or community health center that holds tax-exempt status pursuant to section 501(c)(3) of the internal revenue code.</w:t>
      </w:r>
    </w:p>
    <w:p w14:paraId="036D0DB3" w14:textId="77777777" w:rsidR="00F540AD" w:rsidRPr="005B6271" w:rsidRDefault="004B2324" w:rsidP="004B2324">
      <w:pPr>
        <w:pStyle w:val="P06-00"/>
        <w:rPr>
          <w:rFonts w:ascii="Courier New" w:hAnsi="Courier New" w:cs="Courier New"/>
        </w:rPr>
      </w:pPr>
      <w:r w:rsidRPr="005B6271">
        <w:rPr>
          <w:rFonts w:ascii="Courier New" w:hAnsi="Courier New" w:cs="Courier New"/>
        </w:rPr>
        <w:t>8.  "Notice of completion" means the written notice that is sent by the hearing officer to the chairman of the corporation commission after the hearing officer holds a public hearing and files a summary report pursuant to section 10</w:t>
      </w:r>
      <w:r w:rsidRPr="005B6271">
        <w:rPr>
          <w:rFonts w:ascii="Courier New" w:hAnsi="Courier New" w:cs="Courier New"/>
        </w:rPr>
        <w:noBreakHyphen/>
        <w:t xml:space="preserve">11253. </w:t>
      </w:r>
      <w:r w:rsidRPr="005B6271">
        <w:rPr>
          <w:rFonts w:ascii="Courier New" w:hAnsi="Courier New" w:cs="Courier New"/>
        </w:rPr>
        <w:fldChar w:fldCharType="begin"/>
      </w:r>
      <w:r w:rsidRPr="005B6271">
        <w:rPr>
          <w:rFonts w:ascii="Courier New" w:hAnsi="Courier New" w:cs="Courier New"/>
        </w:rPr>
        <w:instrText xml:space="preserve"> COMMENTS END_STATUTE \* MERGEFORMAT </w:instrText>
      </w:r>
      <w:r w:rsidRPr="005B6271">
        <w:rPr>
          <w:rFonts w:ascii="Courier New" w:hAnsi="Courier New" w:cs="Courier New"/>
        </w:rPr>
        <w:fldChar w:fldCharType="separate"/>
      </w:r>
      <w:r w:rsidRPr="005B6271">
        <w:rPr>
          <w:rFonts w:ascii="Courier New" w:hAnsi="Courier New" w:cs="Courier New"/>
          <w:vanish/>
        </w:rPr>
        <w:t>END_STATUTE</w:t>
      </w:r>
      <w:r w:rsidRPr="005B6271">
        <w:rPr>
          <w:rFonts w:ascii="Courier New" w:hAnsi="Courier New" w:cs="Courier New"/>
        </w:rPr>
        <w:fldChar w:fldCharType="end"/>
      </w:r>
    </w:p>
    <w:sectPr w:rsidR="00F540AD" w:rsidRPr="005B6271" w:rsidSect="004B2324">
      <w:type w:val="continuous"/>
      <w:pgSz w:w="12240" w:h="15840" w:code="1"/>
      <w:pgMar w:top="1440" w:right="1440" w:bottom="1440" w:left="1872" w:header="720" w:footer="720" w:gutter="0"/>
      <w:pgNumType w:start="1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F558" w14:textId="77777777" w:rsidR="004B2324" w:rsidRDefault="004B2324">
      <w:r>
        <w:separator/>
      </w:r>
    </w:p>
  </w:endnote>
  <w:endnote w:type="continuationSeparator" w:id="0">
    <w:p w14:paraId="7CDDC042" w14:textId="77777777" w:rsidR="004B2324" w:rsidRDefault="004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39E3" w14:textId="77777777" w:rsidR="004B2324" w:rsidRDefault="004B2324">
      <w:r>
        <w:separator/>
      </w:r>
    </w:p>
  </w:footnote>
  <w:footnote w:type="continuationSeparator" w:id="0">
    <w:p w14:paraId="6111A05C" w14:textId="77777777" w:rsidR="004B2324" w:rsidRDefault="004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6176651">
    <w:abstractNumId w:val="1"/>
  </w:num>
  <w:num w:numId="2" w16cid:durableId="217329903">
    <w:abstractNumId w:val="1"/>
  </w:num>
  <w:num w:numId="3" w16cid:durableId="1472671330">
    <w:abstractNumId w:val="0"/>
  </w:num>
  <w:num w:numId="4" w16cid:durableId="102421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24"/>
    <w:rsid w:val="004B2324"/>
    <w:rsid w:val="005B6271"/>
    <w:rsid w:val="00E41B6D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0E489"/>
  <w15:chartTrackingRefBased/>
  <w15:docId w15:val="{D61FB6B9-4948-4985-A35C-0CDBFA0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GENCY">
    <w:name w:val="AGENCY"/>
    <w:basedOn w:val="DefaultParagraphFont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basedOn w:val="DefaultParagraphFont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color w:val="800080"/>
      <w:u w:val="single"/>
    </w:rPr>
  </w:style>
  <w:style w:type="character" w:customStyle="1" w:styleId="SNUM">
    <w:name w:val="SNUM"/>
    <w:basedOn w:val="DefaultParagraphFont"/>
    <w:rPr>
      <w:caps w:val="0"/>
      <w:color w:val="008000"/>
    </w:rPr>
  </w:style>
  <w:style w:type="character" w:customStyle="1" w:styleId="SPONSORS">
    <w:name w:val="SPONSORS"/>
  </w:style>
  <w:style w:type="character" w:customStyle="1" w:styleId="Title1">
    <w:name w:val="Title1"/>
    <w:basedOn w:val="DefaultParagraphFont"/>
    <w:rPr>
      <w:caps/>
      <w:color w:val="0000FF"/>
    </w:rPr>
  </w:style>
  <w:style w:type="character" w:customStyle="1" w:styleId="UP">
    <w:name w:val="UP"/>
    <w:basedOn w:val="DefaultParagraphFont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4B2324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2016\Drafting\Statu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Statutes.dotm</Template>
  <TotalTime>0</TotalTime>
  <Pages>1</Pages>
  <Words>277</Words>
  <Characters>1632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10-11251; Definitions</dc:title>
  <dc:subject>Definitions</dc:subject>
  <dc:creator>Arizona Legislative Council</dc:creator>
  <cp:keywords/>
  <dc:description>0338.docx - 532R - 2018</dc:description>
  <cp:lastModifiedBy>dbupdate</cp:lastModifiedBy>
  <cp:revision>2</cp:revision>
  <dcterms:created xsi:type="dcterms:W3CDTF">2024-09-06T20:37:00Z</dcterms:created>
  <dcterms:modified xsi:type="dcterms:W3CDTF">2024-09-06T20:37:00Z</dcterms:modified>
</cp:coreProperties>
</file>